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rFonts w:ascii="Calibri" w:hAnsi="Calibri"/>
          <w:b/>
          <w:color w:val="082554"/>
          <w:sz w:val="34"/>
        </w:rPr>
        <w:t>DARAMOLA JOSEPH OMOYELE</w:t>
      </w:r>
    </w:p>
    <w:p>
      <w:pPr>
        <w:spacing w:before="0" w:after="40"/>
      </w:pPr>
      <w:r>
        <w:rPr>
          <w:rFonts w:ascii="Calibri" w:hAnsi="Calibri"/>
          <w:b/>
          <w:color w:val="16864C"/>
          <w:sz w:val="22"/>
        </w:rPr>
        <w:t>Data &amp; Research Analyst | Economic Analysis &amp; Business Intelligence</w:t>
      </w:r>
    </w:p>
    <w:p>
      <w:pPr>
        <w:spacing w:before="0" w:after="80"/>
      </w:pPr>
      <w:r>
        <w:rPr>
          <w:rFonts w:ascii="Calibri" w:hAnsi="Calibri"/>
          <w:color w:val="64748B"/>
          <w:sz w:val="18"/>
        </w:rPr>
        <w:t>Colchester, Essex, UK  |  info@jomovate.com  |  Portfolio: daramolajo.co.uk  |  Business: jomovate.com</w:t>
        <w:br/>
        <w:t>LinkedIn: linkedin.com/in/joseph-omoyele-bbb006244/  |  GitHub: github.com/dju78  |  ORCID: 0009-0006-0347-0499</w:t>
      </w:r>
    </w:p>
    <w:p>
      <w:pPr>
        <w:keepNext/>
        <w:spacing w:before="120" w:after="40"/>
        <w:pBdr>
          <w:bottom w:val="single" w:sz="6" w:space="2" w:color="CBD5E1"/>
        </w:pBdr>
      </w:pPr>
      <w:r>
        <w:rPr>
          <w:rFonts w:ascii="Calibri" w:hAnsi="Calibri"/>
          <w:b/>
          <w:color w:val="082554"/>
          <w:sz w:val="24"/>
        </w:rPr>
        <w:t>PROFESSIONAL SUMMARY</w:t>
      </w:r>
    </w:p>
    <w:p>
      <w:pPr>
        <w:spacing w:before="20" w:after="60" w:line="276" w:lineRule="auto"/>
      </w:pPr>
      <w:r>
        <w:rPr>
          <w:rFonts w:ascii="Calibri" w:hAnsi="Calibri"/>
          <w:color w:val="1E293B"/>
          <w:sz w:val="21"/>
        </w:rPr>
        <w:t>Data and Research Analyst with extensive experience turning complex data into clear insights and practical decision-support tools. Combines statistical methodology, econometric modelling, business intelligence, and digital product development to address operational, economic, and governance challenges. Holds an MSc in Economics with Data Analytics (Merit) from the University of Essex. Published researcher with peer-reviewed articles in development economics and institutional analysis, active contributor to UK regulatory consultations, and founder of Jomovate Digital Labs.</w:t>
      </w:r>
    </w:p>
    <w:p>
      <w:pPr>
        <w:keepNext/>
        <w:spacing w:before="120" w:after="40"/>
        <w:pBdr>
          <w:bottom w:val="single" w:sz="6" w:space="2" w:color="CBD5E1"/>
        </w:pBdr>
      </w:pPr>
      <w:r>
        <w:rPr>
          <w:rFonts w:ascii="Calibri" w:hAnsi="Calibri"/>
          <w:b/>
          <w:color w:val="082554"/>
          <w:sz w:val="24"/>
        </w:rPr>
        <w:t>CORE TECHNICAL &amp; ANALYTICAL SKILLS</w:t>
      </w:r>
    </w:p>
    <w:p>
      <w:pPr>
        <w:spacing w:before="0" w:after="30" w:line="276" w:lineRule="auto"/>
      </w:pPr>
      <w:r>
        <w:rPr>
          <w:rFonts w:ascii="Calibri" w:hAnsi="Calibri"/>
          <w:b/>
          <w:color w:val="082554"/>
          <w:sz w:val="21"/>
        </w:rPr>
        <w:t xml:space="preserve">Analysis &amp; Modelling: </w:t>
      </w:r>
      <w:r>
        <w:rPr>
          <w:rFonts w:ascii="Calibri" w:hAnsi="Calibri"/>
          <w:color w:val="1E293B"/>
          <w:sz w:val="21"/>
        </w:rPr>
        <w:t>Econometric modelling, statistical methodology, forecasting, cost-benefit analysis, price-index construction (Jevons, Carli, Dutot), composite indices, Panel ARDL, anomaly detection, scenario analysis</w:t>
      </w:r>
    </w:p>
    <w:p>
      <w:pPr>
        <w:spacing w:before="0" w:after="30" w:line="276" w:lineRule="auto"/>
      </w:pPr>
      <w:r>
        <w:rPr>
          <w:rFonts w:ascii="Calibri" w:hAnsi="Calibri"/>
          <w:b/>
          <w:color w:val="082554"/>
          <w:sz w:val="21"/>
        </w:rPr>
        <w:t xml:space="preserve">Languages &amp; Tools: </w:t>
      </w:r>
      <w:r>
        <w:rPr>
          <w:rFonts w:ascii="Calibri" w:hAnsi="Calibri"/>
          <w:color w:val="1E293B"/>
          <w:sz w:val="21"/>
        </w:rPr>
        <w:t>R, Python (Streamlit, Pandas, NumPy), SQL, Advanced Microsoft Excel, Power BI, Tableau, Shiny</w:t>
      </w:r>
    </w:p>
    <w:p>
      <w:pPr>
        <w:spacing w:before="0" w:after="30" w:line="276" w:lineRule="auto"/>
      </w:pPr>
      <w:r>
        <w:rPr>
          <w:rFonts w:ascii="Calibri" w:hAnsi="Calibri"/>
          <w:b/>
          <w:color w:val="082554"/>
          <w:sz w:val="21"/>
        </w:rPr>
        <w:t xml:space="preserve">Product &amp; Web Development: </w:t>
      </w:r>
      <w:r>
        <w:rPr>
          <w:rFonts w:ascii="Calibri" w:hAnsi="Calibri"/>
          <w:color w:val="1E293B"/>
          <w:sz w:val="21"/>
        </w:rPr>
        <w:t>Business requirements gathering, interactive dashboards, calculation engines, REST APIs, TypeScript, React, Tailwind CSS, QA testing &amp; data validation</w:t>
      </w:r>
    </w:p>
    <w:p>
      <w:pPr>
        <w:spacing w:before="0" w:after="30" w:line="276" w:lineRule="auto"/>
      </w:pPr>
      <w:r>
        <w:rPr>
          <w:rFonts w:ascii="Calibri" w:hAnsi="Calibri"/>
          <w:b/>
          <w:color w:val="082554"/>
          <w:sz w:val="21"/>
        </w:rPr>
        <w:t xml:space="preserve">Governance &amp; Compliance: </w:t>
      </w:r>
      <w:r>
        <w:rPr>
          <w:rFonts w:ascii="Calibri" w:hAnsi="Calibri"/>
          <w:color w:val="1E293B"/>
          <w:sz w:val="21"/>
        </w:rPr>
        <w:t>GDPR-aligned data handling, data validation pipelines, regulatory evidence documentation, tax compliance analytics, audit trail workflows</w:t>
      </w:r>
    </w:p>
    <w:p>
      <w:pPr>
        <w:keepNext/>
        <w:spacing w:before="120" w:after="40"/>
        <w:pBdr>
          <w:bottom w:val="single" w:sz="6" w:space="2" w:color="CBD5E1"/>
        </w:pBdr>
      </w:pPr>
      <w:r>
        <w:rPr>
          <w:rFonts w:ascii="Calibri" w:hAnsi="Calibri"/>
          <w:b/>
          <w:color w:val="082554"/>
          <w:sz w:val="24"/>
        </w:rPr>
        <w:t>PROFESSIONAL EXPERIENCE</w:t>
      </w:r>
    </w:p>
    <w:p>
      <w:pPr>
        <w:keepNext/>
        <w:spacing w:before="80" w:after="20"/>
      </w:pPr>
      <w:r>
        <w:rPr>
          <w:rFonts w:ascii="Calibri" w:hAnsi="Calibri"/>
          <w:b/>
          <w:color w:val="082554"/>
          <w:sz w:val="21"/>
        </w:rPr>
        <w:t>Founder &amp; Product Business Analyst</w:t>
      </w:r>
      <w:r>
        <w:rPr>
          <w:rFonts w:ascii="Calibri" w:hAnsi="Calibri"/>
          <w:color w:val="1E293B"/>
          <w:sz w:val="21"/>
        </w:rPr>
        <w:t xml:space="preserve">  |  Jomovate Digital Labs (jomovate.com)  |  </w:t>
      </w:r>
      <w:r>
        <w:rPr>
          <w:rFonts w:ascii="Calibri" w:hAnsi="Calibri"/>
          <w:b/>
          <w:color w:val="64748B"/>
          <w:sz w:val="20"/>
        </w:rPr>
        <w:t>July 2024 to Present</w:t>
      </w:r>
    </w:p>
    <w:p>
      <w:pPr>
        <w:keepNext/>
        <w:spacing w:before="0" w:after="30"/>
      </w:pPr>
      <w:r>
        <w:rPr>
          <w:rFonts w:ascii="Calibri" w:hAnsi="Calibri"/>
          <w:b/>
          <w:color w:val="082554"/>
          <w:sz w:val="20"/>
        </w:rPr>
        <w:t xml:space="preserve">Focus: </w:t>
      </w:r>
      <w:r>
        <w:rPr>
          <w:rFonts w:ascii="Calibri" w:hAnsi="Calibri"/>
          <w:color w:val="1E293B"/>
          <w:sz w:val="20"/>
        </w:rPr>
        <w:t>Founded venture to build data-driven solutions, conduct applied economic research, and engineer decision-support web applications and analytical dashboards.</w:t>
      </w:r>
    </w:p>
    <w:p>
      <w:pPr>
        <w:pStyle w:val="ListBullet"/>
        <w:spacing w:before="0" w:after="30" w:line="276" w:lineRule="auto"/>
      </w:pPr>
      <w:r>
        <w:rPr>
          <w:rFonts w:ascii="Calibri" w:hAnsi="Calibri"/>
          <w:color w:val="1E293B"/>
          <w:sz w:val="21"/>
        </w:rPr>
        <w:t>Gather and document user and business requirements, translating operational and analytical questions into digital products and decision tools.</w:t>
      </w:r>
    </w:p>
    <w:p>
      <w:pPr>
        <w:pStyle w:val="ListBullet"/>
        <w:spacing w:before="0" w:after="30" w:line="276" w:lineRule="auto"/>
      </w:pPr>
      <w:r>
        <w:rPr>
          <w:rFonts w:ascii="Calibri" w:hAnsi="Calibri"/>
          <w:color w:val="1E293B"/>
          <w:sz w:val="21"/>
        </w:rPr>
        <w:t>Engineered specialized analytical platforms including the UK AI Economic Measurement Lab, Price Quality Explorer, and UKCalc financial platform.</w:t>
      </w:r>
    </w:p>
    <w:p>
      <w:pPr>
        <w:pStyle w:val="ListBullet"/>
        <w:spacing w:before="0" w:after="30" w:line="276" w:lineRule="auto"/>
      </w:pPr>
      <w:r>
        <w:rPr>
          <w:rFonts w:ascii="Calibri" w:hAnsi="Calibri"/>
          <w:color w:val="1E293B"/>
          <w:sz w:val="21"/>
        </w:rPr>
        <w:t>Perform end-to-end data validation, calculation verification, and quality assurance across data pipelines and interactive dashboards.</w:t>
      </w:r>
    </w:p>
    <w:p>
      <w:pPr>
        <w:pStyle w:val="ListBullet"/>
        <w:spacing w:before="0" w:after="30" w:line="276" w:lineRule="auto"/>
      </w:pPr>
      <w:r>
        <w:rPr>
          <w:rFonts w:ascii="Calibri" w:hAnsi="Calibri"/>
          <w:color w:val="1E293B"/>
          <w:sz w:val="21"/>
        </w:rPr>
        <w:t>Develop technical product documentation and iterate system designs based on feedback from practitioners and professional users.</w:t>
      </w:r>
    </w:p>
    <w:p>
      <w:pPr>
        <w:pStyle w:val="ListBullet"/>
        <w:spacing w:before="0" w:after="30" w:line="276" w:lineRule="auto"/>
      </w:pPr>
      <w:r>
        <w:rPr>
          <w:rFonts w:ascii="Calibri" w:hAnsi="Calibri"/>
          <w:color w:val="1E293B"/>
          <w:sz w:val="21"/>
        </w:rPr>
        <w:t>Explore appropriate uses of AI in communication, reporting, and operational workflows.</w:t>
      </w:r>
    </w:p>
    <w:p>
      <w:pPr>
        <w:keepNext/>
        <w:spacing w:before="80" w:after="20"/>
      </w:pPr>
      <w:r>
        <w:rPr>
          <w:rFonts w:ascii="Calibri" w:hAnsi="Calibri"/>
          <w:b/>
          <w:color w:val="082554"/>
          <w:sz w:val="21"/>
        </w:rPr>
        <w:t>Data Analytics | Financial Analyst &amp; Business Intelligence</w:t>
      </w:r>
      <w:r>
        <w:rPr>
          <w:rFonts w:ascii="Calibri" w:hAnsi="Calibri"/>
          <w:color w:val="1E293B"/>
          <w:sz w:val="21"/>
        </w:rPr>
        <w:t xml:space="preserve">  |  Univelcity Computing  |  </w:t>
      </w:r>
      <w:r>
        <w:rPr>
          <w:rFonts w:ascii="Calibri" w:hAnsi="Calibri"/>
          <w:b/>
          <w:color w:val="64748B"/>
          <w:sz w:val="20"/>
        </w:rPr>
        <w:t>July 2023 to Present</w:t>
      </w:r>
    </w:p>
    <w:p>
      <w:pPr>
        <w:keepNext/>
        <w:spacing w:before="0" w:after="30"/>
      </w:pPr>
      <w:r>
        <w:rPr>
          <w:rFonts w:ascii="Calibri" w:hAnsi="Calibri"/>
          <w:b/>
          <w:color w:val="082554"/>
          <w:sz w:val="20"/>
        </w:rPr>
        <w:t xml:space="preserve">Focus: </w:t>
      </w:r>
      <w:r>
        <w:rPr>
          <w:rFonts w:ascii="Calibri" w:hAnsi="Calibri"/>
          <w:color w:val="1E293B"/>
          <w:sz w:val="20"/>
        </w:rPr>
        <w:t>Delivering financial, operational, survey, and research data analysis, predictive modelling, and interactive dashboards.</w:t>
      </w:r>
    </w:p>
    <w:p>
      <w:pPr>
        <w:pStyle w:val="ListBullet"/>
        <w:spacing w:before="0" w:after="30" w:line="276" w:lineRule="auto"/>
      </w:pPr>
      <w:r>
        <w:rPr>
          <w:rFonts w:ascii="Calibri" w:hAnsi="Calibri"/>
          <w:color w:val="1E293B"/>
          <w:sz w:val="21"/>
        </w:rPr>
        <w:t>Deliver financial, operational, survey, and research data analysis for development programmes and business research, informing evidence-based decision-making.</w:t>
      </w:r>
    </w:p>
    <w:p>
      <w:pPr>
        <w:pStyle w:val="ListBullet"/>
        <w:spacing w:before="0" w:after="30" w:line="276" w:lineRule="auto"/>
      </w:pPr>
      <w:r>
        <w:rPr>
          <w:rFonts w:ascii="Calibri" w:hAnsi="Calibri"/>
          <w:color w:val="1E293B"/>
          <w:sz w:val="21"/>
        </w:rPr>
        <w:t>Apply econometric modelling, forecasting, cost-benefit analysis, risk assessments, and scenario analysis across multi-currency environments.</w:t>
      </w:r>
    </w:p>
    <w:p>
      <w:pPr>
        <w:pStyle w:val="ListBullet"/>
        <w:spacing w:before="0" w:after="30" w:line="276" w:lineRule="auto"/>
      </w:pPr>
      <w:r>
        <w:rPr>
          <w:rFonts w:ascii="Calibri" w:hAnsi="Calibri"/>
          <w:color w:val="1E293B"/>
          <w:sz w:val="21"/>
        </w:rPr>
        <w:t>Design and maintain automated dashboards and decision tools in Power BI, Tableau, Shiny, and Excel, streamlining stakeholder access to timely insights.</w:t>
      </w:r>
    </w:p>
    <w:p>
      <w:pPr>
        <w:pStyle w:val="ListBullet"/>
        <w:spacing w:before="0" w:after="30" w:line="276" w:lineRule="auto"/>
      </w:pPr>
      <w:r>
        <w:rPr>
          <w:rFonts w:ascii="Calibri" w:hAnsi="Calibri"/>
          <w:color w:val="1E293B"/>
          <w:sz w:val="21"/>
        </w:rPr>
        <w:t>Execute data preparation, ETL, and automated reporting pipelines using R, Python, SQL, and Excel to uncover trends, risks, and performance gaps.</w:t>
      </w:r>
    </w:p>
    <w:p>
      <w:pPr>
        <w:pStyle w:val="ListBullet"/>
        <w:spacing w:before="0" w:after="30" w:line="276" w:lineRule="auto"/>
      </w:pPr>
      <w:r>
        <w:rPr>
          <w:rFonts w:ascii="Calibri" w:hAnsi="Calibri"/>
          <w:color w:val="1E293B"/>
          <w:sz w:val="21"/>
        </w:rPr>
        <w:t>Produce clear analytical summaries and policy briefings communicating complex findings to non-technical stakeholders, strengthening GDPR-aligned handling.</w:t>
      </w:r>
    </w:p>
    <w:p>
      <w:r>
        <w:br w:type="page"/>
      </w:r>
    </w:p>
    <w:p>
      <w:pPr>
        <w:keepNext/>
        <w:spacing w:before="80" w:after="20"/>
      </w:pPr>
      <w:r>
        <w:rPr>
          <w:rFonts w:ascii="Calibri" w:hAnsi="Calibri"/>
          <w:b/>
          <w:color w:val="082554"/>
          <w:sz w:val="21"/>
        </w:rPr>
        <w:t>Financial Analyst</w:t>
      </w:r>
      <w:r>
        <w:rPr>
          <w:rFonts w:ascii="Calibri" w:hAnsi="Calibri"/>
          <w:color w:val="1E293B"/>
          <w:sz w:val="21"/>
        </w:rPr>
        <w:t xml:space="preserve">  |  Nigerian Postal Service  |  </w:t>
      </w:r>
      <w:r>
        <w:rPr>
          <w:rFonts w:ascii="Calibri" w:hAnsi="Calibri"/>
          <w:b/>
          <w:color w:val="64748B"/>
          <w:sz w:val="20"/>
        </w:rPr>
        <w:t>January 2014 to September 2022</w:t>
      </w:r>
    </w:p>
    <w:p>
      <w:pPr>
        <w:keepNext/>
        <w:spacing w:before="0" w:after="30"/>
      </w:pPr>
      <w:r>
        <w:rPr>
          <w:rFonts w:ascii="Calibri" w:hAnsi="Calibri"/>
          <w:b/>
          <w:color w:val="082554"/>
          <w:sz w:val="20"/>
        </w:rPr>
        <w:t xml:space="preserve">Focus: </w:t>
      </w:r>
      <w:r>
        <w:rPr>
          <w:rFonts w:ascii="Calibri" w:hAnsi="Calibri"/>
          <w:color w:val="1E293B"/>
          <w:sz w:val="20"/>
        </w:rPr>
        <w:t>Financial data evaluation, operational budgeting, revenue/cost variance reporting, and operational efficiency analysis.</w:t>
      </w:r>
    </w:p>
    <w:p>
      <w:pPr>
        <w:pStyle w:val="ListBullet"/>
        <w:spacing w:before="0" w:after="30" w:line="276" w:lineRule="auto"/>
      </w:pPr>
      <w:r>
        <w:rPr>
          <w:rFonts w:ascii="Calibri" w:hAnsi="Calibri"/>
          <w:color w:val="1E293B"/>
          <w:sz w:val="21"/>
        </w:rPr>
        <w:t>Analysed nationwide operational, financial, and socioeconomic datasets to support service delivery planning and management reporting.</w:t>
      </w:r>
    </w:p>
    <w:p>
      <w:pPr>
        <w:pStyle w:val="ListBullet"/>
        <w:spacing w:before="0" w:after="30" w:line="276" w:lineRule="auto"/>
      </w:pPr>
      <w:r>
        <w:rPr>
          <w:rFonts w:ascii="Calibri" w:hAnsi="Calibri"/>
          <w:color w:val="1E293B"/>
          <w:sz w:val="21"/>
        </w:rPr>
        <w:t>Built forecasting models and performance monitoring tools to identify regional efficiency gaps and operational intervention points.</w:t>
      </w:r>
    </w:p>
    <w:p>
      <w:pPr>
        <w:pStyle w:val="ListBullet"/>
        <w:spacing w:before="0" w:after="30" w:line="276" w:lineRule="auto"/>
      </w:pPr>
      <w:r>
        <w:rPr>
          <w:rFonts w:ascii="Calibri" w:hAnsi="Calibri"/>
          <w:color w:val="1E293B"/>
          <w:sz w:val="21"/>
        </w:rPr>
        <w:t>Designed composite performance indices to benchmark regional facility performance and support objective resource allocation decisions.</w:t>
      </w:r>
    </w:p>
    <w:p>
      <w:pPr>
        <w:pStyle w:val="ListBullet"/>
        <w:spacing w:before="0" w:after="30" w:line="276" w:lineRule="auto"/>
      </w:pPr>
      <w:r>
        <w:rPr>
          <w:rFonts w:ascii="Calibri" w:hAnsi="Calibri"/>
          <w:color w:val="1E293B"/>
          <w:sz w:val="21"/>
        </w:rPr>
        <w:t>Produced analytical briefings and management summaries translating operational data into actionable service improvement recommendations.</w:t>
      </w:r>
    </w:p>
    <w:p>
      <w:pPr>
        <w:pStyle w:val="ListBullet"/>
        <w:spacing w:before="0" w:after="30" w:line="276" w:lineRule="auto"/>
      </w:pPr>
      <w:r>
        <w:rPr>
          <w:rFonts w:ascii="Calibri" w:hAnsi="Calibri"/>
          <w:color w:val="1E293B"/>
          <w:sz w:val="21"/>
        </w:rPr>
        <w:t>Strengthened survey design, data collection protocols, reporting standards, and data quality assurance across regional facilities.</w:t>
      </w:r>
    </w:p>
    <w:p>
      <w:pPr>
        <w:keepNext/>
        <w:spacing w:before="80" w:after="20"/>
      </w:pPr>
      <w:r>
        <w:rPr>
          <w:rFonts w:ascii="Calibri" w:hAnsi="Calibri"/>
          <w:b/>
          <w:color w:val="082554"/>
          <w:sz w:val="21"/>
        </w:rPr>
        <w:t>Data Analyst/Admin</w:t>
      </w:r>
      <w:r>
        <w:rPr>
          <w:rFonts w:ascii="Calibri" w:hAnsi="Calibri"/>
          <w:color w:val="1E293B"/>
          <w:sz w:val="21"/>
        </w:rPr>
        <w:t xml:space="preserve">  |  City College of Education  |  </w:t>
      </w:r>
      <w:r>
        <w:rPr>
          <w:rFonts w:ascii="Calibri" w:hAnsi="Calibri"/>
          <w:b/>
          <w:color w:val="64748B"/>
          <w:sz w:val="20"/>
        </w:rPr>
        <w:t>January 2008 to December 2013</w:t>
      </w:r>
    </w:p>
    <w:p>
      <w:pPr>
        <w:keepNext/>
        <w:spacing w:before="0" w:after="30"/>
      </w:pPr>
      <w:r>
        <w:rPr>
          <w:rFonts w:ascii="Calibri" w:hAnsi="Calibri"/>
          <w:b/>
          <w:color w:val="082554"/>
          <w:sz w:val="20"/>
        </w:rPr>
        <w:t xml:space="preserve">Focus: </w:t>
      </w:r>
      <w:r>
        <w:rPr>
          <w:rFonts w:ascii="Calibri" w:hAnsi="Calibri"/>
          <w:color w:val="1E293B"/>
          <w:sz w:val="20"/>
        </w:rPr>
        <w:t>Institutional record keeping, student and administrative data verification, academic reporting, and attendance analysis.</w:t>
      </w:r>
    </w:p>
    <w:p>
      <w:pPr>
        <w:pStyle w:val="ListBullet"/>
        <w:spacing w:before="0" w:after="30" w:line="276" w:lineRule="auto"/>
      </w:pPr>
      <w:r>
        <w:rPr>
          <w:rFonts w:ascii="Calibri" w:hAnsi="Calibri"/>
          <w:color w:val="1E293B"/>
          <w:sz w:val="21"/>
        </w:rPr>
        <w:t>Maintained assessment records and student reporting databases, strengthening institutional documentation standards and compliance.</w:t>
      </w:r>
    </w:p>
    <w:p>
      <w:pPr>
        <w:pStyle w:val="ListBullet"/>
        <w:spacing w:before="0" w:after="30" w:line="276" w:lineRule="auto"/>
      </w:pPr>
      <w:r>
        <w:rPr>
          <w:rFonts w:ascii="Calibri" w:hAnsi="Calibri"/>
          <w:color w:val="1E293B"/>
          <w:sz w:val="21"/>
        </w:rPr>
        <w:t>Compiled departmental reports and learning performance data to support evidence-informed learner support and curriculum planning.</w:t>
      </w:r>
    </w:p>
    <w:p>
      <w:pPr>
        <w:pStyle w:val="ListBullet"/>
        <w:spacing w:before="0" w:after="30" w:line="276" w:lineRule="auto"/>
      </w:pPr>
      <w:r>
        <w:rPr>
          <w:rFonts w:ascii="Calibri" w:hAnsi="Calibri"/>
          <w:color w:val="1E293B"/>
          <w:sz w:val="21"/>
        </w:rPr>
        <w:t>Liaised with academic faculty and management to enhance reporting quality and student progression tracking.</w:t>
      </w:r>
    </w:p>
    <w:p>
      <w:pPr>
        <w:keepNext/>
        <w:spacing w:before="120" w:after="40"/>
        <w:pBdr>
          <w:bottom w:val="single" w:sz="6" w:space="2" w:color="CBD5E1"/>
        </w:pBdr>
      </w:pPr>
      <w:r>
        <w:rPr>
          <w:rFonts w:ascii="Calibri" w:hAnsi="Calibri"/>
          <w:b/>
          <w:color w:val="082554"/>
          <w:sz w:val="24"/>
        </w:rPr>
        <w:t>EDUCATION</w:t>
      </w:r>
    </w:p>
    <w:p>
      <w:pPr>
        <w:keepNext/>
        <w:spacing w:before="40" w:after="20"/>
      </w:pPr>
      <w:r>
        <w:rPr>
          <w:rFonts w:ascii="Calibri" w:hAnsi="Calibri"/>
          <w:b/>
          <w:color w:val="082554"/>
          <w:sz w:val="21"/>
        </w:rPr>
        <w:t>MSc Economics with Data Analytics (Merit)</w:t>
      </w:r>
      <w:r>
        <w:rPr>
          <w:rFonts w:ascii="Calibri" w:hAnsi="Calibri"/>
          <w:sz w:val="21"/>
        </w:rPr>
        <w:t xml:space="preserve">  |  University of Essex  |  2023</w:t>
      </w:r>
    </w:p>
    <w:p>
      <w:pPr>
        <w:spacing w:before="0" w:after="40"/>
      </w:pPr>
      <w:r>
        <w:rPr>
          <w:rFonts w:ascii="Calibri" w:hAnsi="Calibri"/>
          <w:color w:val="1E293B"/>
          <w:sz w:val="20"/>
        </w:rPr>
        <w:t>Dissertation: Econometric analysis of Foreign Direct Investment and Economic Growth in Sub-Saharan Africa (Panel ARDL across 39 countries, 1970–2019, integrating World Bank, IMF, and UNCTAD datasets).</w:t>
      </w:r>
    </w:p>
    <w:p>
      <w:pPr>
        <w:spacing w:before="30" w:after="40"/>
      </w:pPr>
      <w:r>
        <w:rPr>
          <w:rFonts w:ascii="Calibri" w:hAnsi="Calibri"/>
          <w:b/>
          <w:color w:val="082554"/>
          <w:sz w:val="21"/>
        </w:rPr>
        <w:t>BSc Economics</w:t>
      </w:r>
      <w:r>
        <w:rPr>
          <w:rFonts w:ascii="Calibri" w:hAnsi="Calibri"/>
          <w:sz w:val="21"/>
        </w:rPr>
        <w:t xml:space="preserve">  |  University of Ilorin  |  2006</w:t>
      </w:r>
    </w:p>
    <w:p>
      <w:pPr>
        <w:keepNext/>
        <w:spacing w:before="120" w:after="40"/>
        <w:pBdr>
          <w:bottom w:val="single" w:sz="6" w:space="2" w:color="CBD5E1"/>
        </w:pBdr>
      </w:pPr>
      <w:r>
        <w:rPr>
          <w:rFonts w:ascii="Calibri" w:hAnsi="Calibri"/>
          <w:b/>
          <w:color w:val="082554"/>
          <w:sz w:val="24"/>
        </w:rPr>
        <w:t>SELECTED ANALYTICAL PROJECTS &amp; DIGITAL PRODUCTS</w:t>
      </w:r>
    </w:p>
    <w:p>
      <w:pPr>
        <w:pStyle w:val="ListBullet"/>
        <w:spacing w:before="0" w:after="30" w:line="276" w:lineRule="auto"/>
      </w:pPr>
      <w:r>
        <w:rPr>
          <w:rFonts w:ascii="Calibri" w:hAnsi="Calibri"/>
          <w:b/>
          <w:color w:val="082554"/>
          <w:sz w:val="21"/>
        </w:rPr>
        <w:t xml:space="preserve">UK AI Economic Measurement Lab (ai-measurement.jomovate.com): </w:t>
      </w:r>
      <w:r>
        <w:rPr>
          <w:rFonts w:ascii="Calibri" w:hAnsi="Calibri"/>
          <w:color w:val="1E293B"/>
          <w:sz w:val="21"/>
        </w:rPr>
        <w:t>Independent research prototype exploring National Accounts classification, Supply &amp; Use tables, and disaggregation of AI-related economic activity (Python/Streamlit).</w:t>
      </w:r>
    </w:p>
    <w:p>
      <w:pPr>
        <w:pStyle w:val="ListBullet"/>
        <w:spacing w:before="0" w:after="30" w:line="276" w:lineRule="auto"/>
      </w:pPr>
      <w:r>
        <w:rPr>
          <w:rFonts w:ascii="Calibri" w:hAnsi="Calibri"/>
          <w:b/>
          <w:color w:val="082554"/>
          <w:sz w:val="21"/>
        </w:rPr>
        <w:t xml:space="preserve">Price Quality Explorer (pricequality.streamlit.app): </w:t>
      </w:r>
      <w:r>
        <w:rPr>
          <w:rFonts w:ascii="Calibri" w:hAnsi="Calibri"/>
          <w:color w:val="1E293B"/>
          <w:sz w:val="21"/>
        </w:rPr>
        <w:t>Methodological application demonstrating automated data quality auditing, anomaly detection, and elementary price-index calculation (Jevons, Carli, Dutot).</w:t>
      </w:r>
    </w:p>
    <w:p>
      <w:pPr>
        <w:pStyle w:val="ListBullet"/>
        <w:spacing w:before="0" w:after="30" w:line="276" w:lineRule="auto"/>
      </w:pPr>
      <w:r>
        <w:rPr>
          <w:rFonts w:ascii="Calibri" w:hAnsi="Calibri"/>
          <w:b/>
          <w:color w:val="082554"/>
          <w:sz w:val="21"/>
        </w:rPr>
        <w:t xml:space="preserve">Performance Insight Explorer (performance-insight-explorer.streamlit.app): </w:t>
      </w:r>
      <w:r>
        <w:rPr>
          <w:rFonts w:ascii="Calibri" w:hAnsi="Calibri"/>
          <w:color w:val="1E293B"/>
          <w:sz w:val="21"/>
        </w:rPr>
        <w:t>Executive decision-support tool transforming operational datasets into KPI benchmarks and trend intelligence.</w:t>
      </w:r>
    </w:p>
    <w:p>
      <w:pPr>
        <w:pStyle w:val="ListBullet"/>
        <w:spacing w:before="0" w:after="30" w:line="276" w:lineRule="auto"/>
      </w:pPr>
      <w:r>
        <w:rPr>
          <w:rFonts w:ascii="Calibri" w:hAnsi="Calibri"/>
          <w:b/>
          <w:color w:val="082554"/>
          <w:sz w:val="21"/>
        </w:rPr>
        <w:t xml:space="preserve">Care Quality Intelligence (cqi.carephrase.com): </w:t>
      </w:r>
      <w:r>
        <w:rPr>
          <w:rFonts w:ascii="Calibri" w:hAnsi="Calibri"/>
          <w:color w:val="1E293B"/>
          <w:sz w:val="21"/>
        </w:rPr>
        <w:t>Health and social care analytics dashboard delivering quality monitoring, risk oversight, and regulatory audit evidence (React/TypeScript).</w:t>
      </w:r>
    </w:p>
    <w:p>
      <w:pPr>
        <w:pStyle w:val="ListBullet"/>
        <w:spacing w:before="0" w:after="30" w:line="276" w:lineRule="auto"/>
      </w:pPr>
      <w:r>
        <w:rPr>
          <w:rFonts w:ascii="Calibri" w:hAnsi="Calibri"/>
          <w:b/>
          <w:color w:val="082554"/>
          <w:sz w:val="21"/>
        </w:rPr>
        <w:t xml:space="preserve">UKCalc Platform (ukcalc.jomovate.com): </w:t>
      </w:r>
      <w:r>
        <w:rPr>
          <w:rFonts w:ascii="Calibri" w:hAnsi="Calibri"/>
          <w:color w:val="1E293B"/>
          <w:sz w:val="21"/>
        </w:rPr>
        <w:t>Financial calculation platform translating complex UK statutory tax, mortgage, and income rules into transparent tools.</w:t>
      </w:r>
    </w:p>
    <w:p>
      <w:pPr>
        <w:keepNext/>
        <w:spacing w:before="120" w:after="40"/>
        <w:pBdr>
          <w:bottom w:val="single" w:sz="6" w:space="2" w:color="CBD5E1"/>
        </w:pBdr>
      </w:pPr>
      <w:r>
        <w:rPr>
          <w:rFonts w:ascii="Calibri" w:hAnsi="Calibri"/>
          <w:b/>
          <w:color w:val="082554"/>
          <w:sz w:val="24"/>
        </w:rPr>
        <w:t>SELECTED PUBLICATIONS &amp; POLICY CONTRIBUTIONS</w:t>
      </w:r>
    </w:p>
    <w:p>
      <w:pPr>
        <w:pStyle w:val="ListBullet"/>
        <w:spacing w:before="0" w:after="30" w:line="276" w:lineRule="auto"/>
      </w:pPr>
      <w:r>
        <w:rPr>
          <w:rFonts w:ascii="Calibri" w:hAnsi="Calibri"/>
          <w:b/>
          <w:color w:val="082554"/>
          <w:sz w:val="21"/>
        </w:rPr>
        <w:t xml:space="preserve">Journal Article: </w:t>
      </w:r>
      <w:r>
        <w:rPr>
          <w:rFonts w:ascii="Calibri" w:hAnsi="Calibri"/>
          <w:color w:val="1E293B"/>
          <w:sz w:val="21"/>
        </w:rPr>
        <w:t>Administrative Reach and State Capacity: Interoperability Failures in Nigeria's Digital Identification Infrastructure. International Journal of Development and Economic Sustainability, Vol. 14(1), pp. 33–44 (2026). DOI: 10.37745/ijdes.13/vol14n13344</w:t>
      </w:r>
    </w:p>
    <w:p>
      <w:pPr>
        <w:pStyle w:val="ListBullet"/>
        <w:spacing w:before="0" w:after="30" w:line="276" w:lineRule="auto"/>
      </w:pPr>
      <w:r>
        <w:rPr>
          <w:rFonts w:ascii="Calibri" w:hAnsi="Calibri"/>
          <w:b/>
          <w:color w:val="082554"/>
          <w:sz w:val="21"/>
        </w:rPr>
        <w:t xml:space="preserve">Journal Article: </w:t>
      </w:r>
      <w:r>
        <w:rPr>
          <w:rFonts w:ascii="Calibri" w:hAnsi="Calibri"/>
          <w:color w:val="1E293B"/>
          <w:sz w:val="21"/>
        </w:rPr>
        <w:t>Dynamics of Foreign Direct Investment and Economic Growth in SADC Countries: A Panel Data Analysis. Journal of Cultural Analysis and Social Change, Vol. 11(2), pp. 222–230 (2026).</w:t>
      </w:r>
    </w:p>
    <w:p>
      <w:pPr>
        <w:pStyle w:val="ListBullet"/>
        <w:spacing w:before="0" w:after="30" w:line="276" w:lineRule="auto"/>
      </w:pPr>
      <w:r>
        <w:rPr>
          <w:rFonts w:ascii="Calibri" w:hAnsi="Calibri"/>
          <w:b/>
          <w:color w:val="082554"/>
          <w:sz w:val="21"/>
        </w:rPr>
        <w:t xml:space="preserve">Regulatory Submission (Ofgem): </w:t>
      </w:r>
      <w:r>
        <w:rPr>
          <w:rFonts w:ascii="Calibri" w:hAnsi="Calibri"/>
          <w:color w:val="1E293B"/>
          <w:sz w:val="21"/>
        </w:rPr>
        <w:t>Consultation response on open data standards in the energy sector, focusing on data validation, schema stability, and accessibility for smaller users (2024).</w:t>
      </w:r>
    </w:p>
    <w:p>
      <w:pPr>
        <w:pStyle w:val="ListBullet"/>
        <w:spacing w:before="0" w:after="30" w:line="276" w:lineRule="auto"/>
      </w:pPr>
      <w:r>
        <w:rPr>
          <w:rFonts w:ascii="Calibri" w:hAnsi="Calibri"/>
          <w:b/>
          <w:color w:val="082554"/>
          <w:sz w:val="21"/>
        </w:rPr>
        <w:t xml:space="preserve">Regulatory Submission (ICO): </w:t>
      </w:r>
      <w:r>
        <w:rPr>
          <w:rFonts w:ascii="Calibri" w:hAnsi="Calibri"/>
          <w:color w:val="1E293B"/>
          <w:sz w:val="21"/>
        </w:rPr>
        <w:t>Consultation submission on automated decision-making and profiling under UK GDPR Article 22, examining SME impacts and vendor accountability (2024).</w:t>
      </w:r>
    </w:p>
    <w:p>
      <w:pPr>
        <w:pStyle w:val="ListBullet"/>
        <w:spacing w:before="0" w:after="30" w:line="276" w:lineRule="auto"/>
      </w:pPr>
      <w:r>
        <w:rPr>
          <w:rFonts w:ascii="Calibri" w:hAnsi="Calibri"/>
          <w:b/>
          <w:color w:val="082554"/>
          <w:sz w:val="21"/>
        </w:rPr>
        <w:t xml:space="preserve">Practitioner Submission (HMRC): </w:t>
      </w:r>
      <w:r>
        <w:rPr>
          <w:rFonts w:ascii="Calibri" w:hAnsi="Calibri"/>
          <w:color w:val="1E293B"/>
          <w:sz w:val="21"/>
        </w:rPr>
        <w:t>Practitioner note on Making Tax Digital for Income Tax, introducing behavioural reporting noise and triage safeguards (2024).</w:t>
      </w:r>
    </w:p>
    <w:sectPr w:rsidR="00FC693F" w:rsidRPr="0006063C" w:rsidSect="00034616">
      <w:pgSz w:w="12240" w:h="15840"/>
      <w:pgMar w:top="648" w:right="792" w:bottom="648"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